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600cc9e0e9546aa" /></Relationships>
</file>

<file path=word/document.xml><?xml version="1.0" encoding="utf-8"?>
<w:document xmlns:w="http://schemas.openxmlformats.org/wordprocessingml/2006/main">
  <w:body>
    <w:p>
      <w:pPr>
        <w:pStyle w:val="Heading1"/>
      </w:pPr>
      <w:r>
        <w:t xml:space="preserve">Goal Setting</w:t>
      </w:r>
    </w:p>
    <w:tbl>
      <w:tblPr>
        <w:tblStyle w:val="TableGrid"/>
        <w:tblW w:w="0" w:type="auto"/>
      </w:tblPr>
      <w:tblGrid>
        <w:gridCol/>
        <w:gridCol/>
        <w:gridCol/>
        <w:gridCol/>
        <w:gridCol/>
        <w:gridCol/>
        <w:gridCol/>
      </w:tblGrid>
      <w:tr>
        <w:tc>
          <w:tcPr>
            <w:gridSpan w:val="7"/>
            <w:tcMar>
              <w:top w:w="150" w:type="dxa"/>
              <w:right w:w="150" w:type="dxa"/>
              <w:bottom w:w="150" w:type="dxa"/>
              <w:left w:w="150" w:type="dxa"/>
            </w:tcMar>
            <w:vAlign w:val="center"/>
            <w:shd w:val="clear" w:color="auto" w:fill="165998"/>
          </w:tcPr>
          <w:p>
            <w:r>
              <w:rPr>
                <w:b/>
                <w:color w:val="FFFFFF"/>
                <w:shd w:val="clear" w:fill="165998"/>
              </w:rPr>
              <w:t xml:space="preserve">Priority:</w:t>
            </w:r>
            <w:r>
              <w:rPr>
                <w:color w:val="FFFFFF"/>
                <w:shd w:val="clear" w:fill="165998"/>
              </w:rPr>
              <w:t xml:space="preserve"> Instructional goals need to be created, monitored, and refined based upon ongoing progress.</w:t>
            </w:r>
          </w:p>
        </w:tc>
      </w:tr>
      <w:tr>
        <w:tc>
          <w:tcPr>
            <w:tcMar>
              <w:top w:w="90" w:type="dxa"/>
              <w:right w:w="90" w:type="dxa"/>
              <w:bottom w:w="90" w:type="dxa"/>
              <w:left w:w="90" w:type="dxa"/>
            </w:tcMar>
            <w:vAlign w:val="center"/>
            <w:shd w:val="clear" w:color="auto" w:fill="DCE1E7"/>
          </w:tcPr>
          <w:p>
            <w:r>
              <w:rPr>
                <w:b/>
                <w:shd w:val="clear" w:fill="DCE1E7"/>
              </w:rPr>
              <w:t xml:space="preserve">Outcome Category</w:t>
            </w:r>
          </w:p>
        </w:tc>
        <w:tc>
          <w:tcPr>
            <w:tcMar>
              <w:top w:w="90" w:type="dxa"/>
              <w:right w:w="90" w:type="dxa"/>
              <w:bottom w:w="90" w:type="dxa"/>
              <w:left w:w="90" w:type="dxa"/>
            </w:tcMar>
            <w:vAlign w:val="center"/>
            <w:shd w:val="clear" w:color="auto" w:fill="DCE1E7"/>
          </w:tcPr>
          <w:p>
            <w:r>
              <w:rPr>
                <w:b/>
                <w:shd w:val="clear" w:fill="DCE1E7"/>
              </w:rPr>
              <w:t xml:space="preserve">Measurable Goal Statement</w:t>
            </w:r>
          </w:p>
        </w:tc>
        <w:tc>
          <w:tcPr>
            <w:tcMar>
              <w:top w:w="90" w:type="dxa"/>
              <w:right w:w="90" w:type="dxa"/>
              <w:bottom w:w="90" w:type="dxa"/>
              <w:left w:w="90" w:type="dxa"/>
            </w:tcMar>
            <w:vAlign w:val="center"/>
            <w:shd w:val="clear" w:color="auto" w:fill="DCE1E7"/>
          </w:tcPr>
          <w:p>
            <w:r>
              <w:rPr>
                <w:b/>
                <w:shd w:val="clear" w:fill="DCE1E7"/>
              </w:rPr>
              <w:t xml:space="preserve">Measurable Goal Nickname</w:t>
            </w:r>
          </w:p>
        </w:tc>
        <w:tc>
          <w:tcPr>
            <w:tcMar>
              <w:top w:w="90" w:type="dxa"/>
              <w:right w:w="90" w:type="dxa"/>
              <w:bottom w:w="90" w:type="dxa"/>
              <w:left w:w="90" w:type="dxa"/>
            </w:tcMar>
            <w:vAlign w:val="center"/>
            <w:shd w:val="clear" w:color="auto" w:fill="DCE1E7"/>
          </w:tcPr>
          <w:p>
            <w:r>
              <w:rPr>
                <w:b/>
                <w:shd w:val="clear" w:fill="DCE1E7"/>
              </w:rPr>
              <w:t xml:space="preserve">Target 1st Quarter</w:t>
            </w:r>
          </w:p>
        </w:tc>
        <w:tc>
          <w:tcPr>
            <w:tcMar>
              <w:top w:w="90" w:type="dxa"/>
              <w:right w:w="90" w:type="dxa"/>
              <w:bottom w:w="90" w:type="dxa"/>
              <w:left w:w="90" w:type="dxa"/>
            </w:tcMar>
            <w:vAlign w:val="center"/>
            <w:shd w:val="clear" w:color="auto" w:fill="DCE1E7"/>
          </w:tcPr>
          <w:p>
            <w:r>
              <w:rPr>
                <w:b/>
                <w:shd w:val="clear" w:fill="DCE1E7"/>
              </w:rPr>
              <w:t xml:space="preserve">Target 2nd Quarter</w:t>
            </w:r>
          </w:p>
        </w:tc>
        <w:tc>
          <w:tcPr>
            <w:tcMar>
              <w:top w:w="90" w:type="dxa"/>
              <w:right w:w="90" w:type="dxa"/>
              <w:bottom w:w="90" w:type="dxa"/>
              <w:left w:w="90" w:type="dxa"/>
            </w:tcMar>
            <w:vAlign w:val="center"/>
            <w:shd w:val="clear" w:color="auto" w:fill="DCE1E7"/>
          </w:tcPr>
          <w:p>
            <w:r>
              <w:rPr>
                <w:b/>
                <w:shd w:val="clear" w:fill="DCE1E7"/>
              </w:rPr>
              <w:t xml:space="preserve">Target 3rd Quarter</w:t>
            </w:r>
          </w:p>
        </w:tc>
        <w:tc>
          <w:tcPr>
            <w:tcMar>
              <w:top w:w="90" w:type="dxa"/>
              <w:right w:w="90" w:type="dxa"/>
              <w:bottom w:w="90" w:type="dxa"/>
              <w:left w:w="90" w:type="dxa"/>
            </w:tcMar>
            <w:vAlign w:val="center"/>
            <w:shd w:val="clear" w:color="auto" w:fill="DCE1E7"/>
          </w:tcPr>
          <w:p>
            <w:r>
              <w:rPr>
                <w:b/>
                <w:shd w:val="clear" w:fill="DCE1E7"/>
              </w:rPr>
              <w:t xml:space="preserve">Target 4th Quarter</w:t>
            </w:r>
          </w:p>
        </w:tc>
      </w:tr>
      <w:tr>
        <w:tc>
          <w:tcPr>
            <w:tcMar>
              <w:top w:w="90" w:type="dxa"/>
              <w:right w:w="90" w:type="dxa"/>
              <w:bottom w:w="90" w:type="dxa"/>
              <w:left w:w="90" w:type="dxa"/>
            </w:tcMar>
            <w:vAlign w:val="top"/>
          </w:tcPr>
          <w:p>
            <w:r>
              <w:rPr>
                <w:sz w:val="18"/>
              </w:rPr>
              <w:t xml:space="preserve">English Language Arts</w:t>
            </w:r>
          </w:p>
        </w:tc>
        <w:tc>
          <w:tcPr>
            <w:tcMar>
              <w:top w:w="90" w:type="dxa"/>
              <w:right w:w="90" w:type="dxa"/>
              <w:bottom w:w="90" w:type="dxa"/>
              <w:left w:w="90" w:type="dxa"/>
            </w:tcMar>
            <w:vAlign w:val="top"/>
          </w:tcPr>
          <w:p>
            <w:r>
              <w:rPr>
                <w:sz w:val="18"/>
              </w:rPr>
              <w:t xml:space="preserve">The English Language Arts percent proficient or advanced will increase by 5% each year in order to meet the 2030 statewide goal of 81.1%.</w:t>
            </w:r>
          </w:p>
        </w:tc>
        <w:tc>
          <w:tcPr>
            <w:tcMar>
              <w:top w:w="90" w:type="dxa"/>
              <w:right w:w="90" w:type="dxa"/>
              <w:bottom w:w="90" w:type="dxa"/>
              <w:left w:w="90" w:type="dxa"/>
            </w:tcMar>
            <w:vAlign w:val="top"/>
          </w:tcPr>
          <w:p>
            <w:r>
              <w:rPr>
                <w:sz w:val="18"/>
              </w:rPr>
              <w:t xml:space="preserve">Increase ELA proficient and advanced</w:t>
            </w:r>
          </w:p>
        </w:tc>
        <w:tc>
          <w:tcPr>
            <w:tcMar>
              <w:top w:w="90" w:type="dxa"/>
              <w:right w:w="90" w:type="dxa"/>
              <w:bottom w:w="90" w:type="dxa"/>
              <w:left w:w="90" w:type="dxa"/>
            </w:tcMar>
            <w:vAlign w:val="top"/>
          </w:tcPr>
          <w:p>
            <w:r>
              <w:rPr>
                <w:sz w:val="18"/>
              </w:rPr>
              <w:t xml:space="preserve">Students will receive research-based instruction in ELA. </w:t>
            </w:r>
          </w:p>
        </w:tc>
        <w:tc>
          <w:tcPr>
            <w:tcMar>
              <w:top w:w="90" w:type="dxa"/>
              <w:right w:w="90" w:type="dxa"/>
              <w:bottom w:w="90" w:type="dxa"/>
              <w:left w:w="90" w:type="dxa"/>
            </w:tcMar>
            <w:vAlign w:val="top"/>
          </w:tcPr>
          <w:p>
            <w:r>
              <w:rPr>
                <w:sz w:val="18"/>
              </w:rPr>
              <w:t xml:space="preserve">Students will receive research-based instruction in ELA. CDT will be administered in grades 4-8. Results will be reviewed. Interventions will be applied.</w:t>
            </w:r>
          </w:p>
        </w:tc>
        <w:tc>
          <w:tcPr>
            <w:tcMar>
              <w:top w:w="90" w:type="dxa"/>
              <w:right w:w="90" w:type="dxa"/>
              <w:bottom w:w="90" w:type="dxa"/>
              <w:left w:w="90" w:type="dxa"/>
            </w:tcMar>
            <w:vAlign w:val="top"/>
          </w:tcPr>
          <w:p>
            <w:r>
              <w:rPr>
                <w:sz w:val="18"/>
              </w:rPr>
              <w:t xml:space="preserve">Students will receive research-based instruction in ELA. Interventions will be applied based upon performance with the CDT  .</w:t>
            </w:r>
          </w:p>
        </w:tc>
        <w:tc>
          <w:tcPr>
            <w:tcMar>
              <w:top w:w="90" w:type="dxa"/>
              <w:right w:w="90" w:type="dxa"/>
              <w:bottom w:w="90" w:type="dxa"/>
              <w:left w:w="90" w:type="dxa"/>
            </w:tcMar>
            <w:vAlign w:val="top"/>
          </w:tcPr>
          <w:p>
            <w:r>
              <w:rPr>
                <w:sz w:val="18"/>
              </w:rPr>
              <w:t xml:space="preserve">Students will receive research-based instruction in ELA. Interventions will be applied based upon performance with the CDT. Another CDT will be administered. Results will be compared to the initial CDT. Further interventions will be implemented.</w:t>
            </w:r>
          </w:p>
        </w:tc>
      </w:tr>
    </w:tbl>
    <w:p>
      <w:r>
        <w:br/>
      </w:r>
      <w:r>
        <w:br w:type="page"/>
      </w:r>
      <w:r>
        <w:lastRenderedPageBreak/>
      </w:r>
    </w:p>
    <w:tbl>
      <w:tblPr>
        <w:tblStyle w:val="TableGrid"/>
        <w:tblW w:w="0" w:type="auto"/>
      </w:tblPr>
      <w:tblGrid>
        <w:gridCol/>
        <w:gridCol/>
        <w:gridCol/>
        <w:gridCol/>
        <w:gridCol/>
        <w:gridCol/>
        <w:gridCol/>
      </w:tblGrid>
      <w:tr>
        <w:tc>
          <w:tcPr>
            <w:gridSpan w:val="7"/>
            <w:tcMar>
              <w:top w:w="150" w:type="dxa"/>
              <w:right w:w="150" w:type="dxa"/>
              <w:bottom w:w="150" w:type="dxa"/>
              <w:left w:w="150" w:type="dxa"/>
            </w:tcMar>
            <w:vAlign w:val="center"/>
            <w:shd w:val="clear" w:color="auto" w:fill="165998"/>
          </w:tcPr>
          <w:p>
            <w:r>
              <w:rPr>
                <w:b/>
                <w:color w:val="FFFFFF"/>
                <w:shd w:val="clear" w:fill="165998"/>
              </w:rPr>
              <w:t xml:space="preserve">Priority:</w:t>
            </w:r>
            <w:r>
              <w:rPr>
                <w:color w:val="FFFFFF"/>
                <w:shd w:val="clear" w:fill="165998"/>
              </w:rPr>
              <w:t xml:space="preserve"> Instructional goals need to be created, monitored, and refined based upon ongoing progress.</w:t>
            </w:r>
          </w:p>
        </w:tc>
      </w:tr>
      <w:tr>
        <w:tc>
          <w:tcPr>
            <w:tcMar>
              <w:top w:w="90" w:type="dxa"/>
              <w:right w:w="90" w:type="dxa"/>
              <w:bottom w:w="90" w:type="dxa"/>
              <w:left w:w="90" w:type="dxa"/>
            </w:tcMar>
            <w:vAlign w:val="center"/>
            <w:shd w:val="clear" w:color="auto" w:fill="DCE1E7"/>
          </w:tcPr>
          <w:p>
            <w:r>
              <w:rPr>
                <w:b/>
                <w:shd w:val="clear" w:fill="DCE1E7"/>
              </w:rPr>
              <w:t xml:space="preserve">Outcome Category</w:t>
            </w:r>
          </w:p>
        </w:tc>
        <w:tc>
          <w:tcPr>
            <w:tcMar>
              <w:top w:w="90" w:type="dxa"/>
              <w:right w:w="90" w:type="dxa"/>
              <w:bottom w:w="90" w:type="dxa"/>
              <w:left w:w="90" w:type="dxa"/>
            </w:tcMar>
            <w:vAlign w:val="center"/>
            <w:shd w:val="clear" w:color="auto" w:fill="DCE1E7"/>
          </w:tcPr>
          <w:p>
            <w:r>
              <w:rPr>
                <w:b/>
                <w:shd w:val="clear" w:fill="DCE1E7"/>
              </w:rPr>
              <w:t xml:space="preserve">Measurable Goal Statement</w:t>
            </w:r>
          </w:p>
        </w:tc>
        <w:tc>
          <w:tcPr>
            <w:tcMar>
              <w:top w:w="90" w:type="dxa"/>
              <w:right w:w="90" w:type="dxa"/>
              <w:bottom w:w="90" w:type="dxa"/>
              <w:left w:w="90" w:type="dxa"/>
            </w:tcMar>
            <w:vAlign w:val="center"/>
            <w:shd w:val="clear" w:color="auto" w:fill="DCE1E7"/>
          </w:tcPr>
          <w:p>
            <w:r>
              <w:rPr>
                <w:b/>
                <w:shd w:val="clear" w:fill="DCE1E7"/>
              </w:rPr>
              <w:t xml:space="preserve">Measurable Goal Nickname</w:t>
            </w:r>
          </w:p>
        </w:tc>
        <w:tc>
          <w:tcPr>
            <w:tcMar>
              <w:top w:w="90" w:type="dxa"/>
              <w:right w:w="90" w:type="dxa"/>
              <w:bottom w:w="90" w:type="dxa"/>
              <w:left w:w="90" w:type="dxa"/>
            </w:tcMar>
            <w:vAlign w:val="center"/>
            <w:shd w:val="clear" w:color="auto" w:fill="DCE1E7"/>
          </w:tcPr>
          <w:p>
            <w:r>
              <w:rPr>
                <w:b/>
                <w:shd w:val="clear" w:fill="DCE1E7"/>
              </w:rPr>
              <w:t xml:space="preserve">Target 1st Quarter</w:t>
            </w:r>
          </w:p>
        </w:tc>
        <w:tc>
          <w:tcPr>
            <w:tcMar>
              <w:top w:w="90" w:type="dxa"/>
              <w:right w:w="90" w:type="dxa"/>
              <w:bottom w:w="90" w:type="dxa"/>
              <w:left w:w="90" w:type="dxa"/>
            </w:tcMar>
            <w:vAlign w:val="center"/>
            <w:shd w:val="clear" w:color="auto" w:fill="DCE1E7"/>
          </w:tcPr>
          <w:p>
            <w:r>
              <w:rPr>
                <w:b/>
                <w:shd w:val="clear" w:fill="DCE1E7"/>
              </w:rPr>
              <w:t xml:space="preserve">Target 2nd Quarter</w:t>
            </w:r>
          </w:p>
        </w:tc>
        <w:tc>
          <w:tcPr>
            <w:tcMar>
              <w:top w:w="90" w:type="dxa"/>
              <w:right w:w="90" w:type="dxa"/>
              <w:bottom w:w="90" w:type="dxa"/>
              <w:left w:w="90" w:type="dxa"/>
            </w:tcMar>
            <w:vAlign w:val="center"/>
            <w:shd w:val="clear" w:color="auto" w:fill="DCE1E7"/>
          </w:tcPr>
          <w:p>
            <w:r>
              <w:rPr>
                <w:b/>
                <w:shd w:val="clear" w:fill="DCE1E7"/>
              </w:rPr>
              <w:t xml:space="preserve">Target 3rd Quarter</w:t>
            </w:r>
          </w:p>
        </w:tc>
        <w:tc>
          <w:tcPr>
            <w:tcMar>
              <w:top w:w="90" w:type="dxa"/>
              <w:right w:w="90" w:type="dxa"/>
              <w:bottom w:w="90" w:type="dxa"/>
              <w:left w:w="90" w:type="dxa"/>
            </w:tcMar>
            <w:vAlign w:val="center"/>
            <w:shd w:val="clear" w:color="auto" w:fill="DCE1E7"/>
          </w:tcPr>
          <w:p>
            <w:r>
              <w:rPr>
                <w:b/>
                <w:shd w:val="clear" w:fill="DCE1E7"/>
              </w:rPr>
              <w:t xml:space="preserve">Target 4th Quarter</w:t>
            </w:r>
          </w:p>
        </w:tc>
      </w:tr>
      <w:tr>
        <w:tc>
          <w:tcPr>
            <w:tcMar>
              <w:top w:w="90" w:type="dxa"/>
              <w:right w:w="90" w:type="dxa"/>
              <w:bottom w:w="90" w:type="dxa"/>
              <w:left w:w="90" w:type="dxa"/>
            </w:tcMar>
            <w:vAlign w:val="top"/>
          </w:tcPr>
          <w:p>
            <w:r>
              <w:rPr>
                <w:sz w:val="18"/>
              </w:rPr>
              <w:t xml:space="preserve">Mathematics</w:t>
            </w:r>
          </w:p>
        </w:tc>
        <w:tc>
          <w:tcPr>
            <w:tcMar>
              <w:top w:w="90" w:type="dxa"/>
              <w:right w:w="90" w:type="dxa"/>
              <w:bottom w:w="90" w:type="dxa"/>
              <w:left w:w="90" w:type="dxa"/>
            </w:tcMar>
            <w:vAlign w:val="top"/>
          </w:tcPr>
          <w:p>
            <w:r>
              <w:rPr>
                <w:sz w:val="18"/>
              </w:rPr>
              <w:t xml:space="preserve">The math percent proficient or advanced will increase by 6% each year in order to meet the 2030 statewide goal of 71.8%.</w:t>
            </w:r>
          </w:p>
        </w:tc>
        <w:tc>
          <w:tcPr>
            <w:tcMar>
              <w:top w:w="90" w:type="dxa"/>
              <w:right w:w="90" w:type="dxa"/>
              <w:bottom w:w="90" w:type="dxa"/>
              <w:left w:w="90" w:type="dxa"/>
            </w:tcMar>
            <w:vAlign w:val="top"/>
          </w:tcPr>
          <w:p>
            <w:r>
              <w:rPr>
                <w:sz w:val="18"/>
              </w:rPr>
              <w:t xml:space="preserve">Increase math proficient and advanced</w:t>
            </w:r>
          </w:p>
        </w:tc>
        <w:tc>
          <w:tcPr>
            <w:tcMar>
              <w:top w:w="90" w:type="dxa"/>
              <w:right w:w="90" w:type="dxa"/>
              <w:bottom w:w="90" w:type="dxa"/>
              <w:left w:w="90" w:type="dxa"/>
            </w:tcMar>
            <w:vAlign w:val="top"/>
          </w:tcPr>
          <w:p>
            <w:r>
              <w:rPr>
                <w:sz w:val="18"/>
              </w:rPr>
              <w:t xml:space="preserve">Students will receive research-based instruction in math. </w:t>
            </w:r>
          </w:p>
        </w:tc>
        <w:tc>
          <w:tcPr>
            <w:tcMar>
              <w:top w:w="90" w:type="dxa"/>
              <w:right w:w="90" w:type="dxa"/>
              <w:bottom w:w="90" w:type="dxa"/>
              <w:left w:w="90" w:type="dxa"/>
            </w:tcMar>
            <w:vAlign w:val="top"/>
          </w:tcPr>
          <w:p>
            <w:r>
              <w:rPr>
                <w:sz w:val="18"/>
              </w:rPr>
              <w:t xml:space="preserve">Students will receive research-based instruction in math. CDT will be administered in grades 4-8. Results will be reviewed. Interventions will applied.</w:t>
            </w:r>
          </w:p>
        </w:tc>
        <w:tc>
          <w:tcPr>
            <w:tcMar>
              <w:top w:w="90" w:type="dxa"/>
              <w:right w:w="90" w:type="dxa"/>
              <w:bottom w:w="90" w:type="dxa"/>
              <w:left w:w="90" w:type="dxa"/>
            </w:tcMar>
            <w:vAlign w:val="top"/>
          </w:tcPr>
          <w:p>
            <w:r>
              <w:rPr>
                <w:sz w:val="18"/>
              </w:rPr>
              <w:t xml:space="preserve">Students will receive research-based instruction in math. Interventions will be applied based upon performance with the CDT.</w:t>
            </w:r>
          </w:p>
        </w:tc>
        <w:tc>
          <w:tcPr>
            <w:tcMar>
              <w:top w:w="90" w:type="dxa"/>
              <w:right w:w="90" w:type="dxa"/>
              <w:bottom w:w="90" w:type="dxa"/>
              <w:left w:w="90" w:type="dxa"/>
            </w:tcMar>
            <w:vAlign w:val="top"/>
          </w:tcPr>
          <w:p>
            <w:r>
              <w:rPr>
                <w:sz w:val="18"/>
              </w:rPr>
              <w:t xml:space="preserve">Students will receive research-based instruction in math. Interventions will be applied based upon performance with the CDT. Another CDT will be administered. Results will be compared to the initial CDT. Further interventions will be implemented.</w:t>
            </w:r>
          </w:p>
        </w:tc>
      </w:tr>
    </w:tbl>
    <w:p>
      <w:r>
        <w:br/>
      </w:r>
    </w:p>
    <w:sectPr>
      <w:pgSz w:w="15840" w:h="12240" w:orient="landscape"/>
      <w:pgMar w:top="720" w:right="720" w:bottom="720" w:left="720"/>
    </w:sectPr>
  </w:body>
</w:document>
</file>

<file path=word/styles.xml><?xml version="1.0" encoding="utf-8"?>
<w:styles xmlns:w="http://schemas.openxmlformats.org/wordprocessingml/2006/main">
  <w:style xmlns:w="http://schemas.openxmlformats.org/wordprocessingml/2006/main" w:type="paragraph" w:styleId="Heading1">
    <w:name w:val="heading 1"/>
    <w:basedOn w:val="Normal"/>
    <w:next w:val="Normal"/>
    <w:link w:val="Heading1Char"/>
    <w:qFormat/>
    <w:pPr>
      <w:keepNext/>
      <w:keepLines/>
      <w:spacing w:before="480" w:after="0"/>
      <w:outlineLvl w:val="0"/>
    </w:pPr>
    <w:rPr>
      <w:rFonts w:asciiTheme="majorHAnsi" w:hAnsiTheme="majorHAnsi" w:eastAsiaTheme="majorEastAsia" w:cstheme="majorBidi"/>
      <w:b/>
      <w:bCs/>
      <w:color w:val="2E74B5" w:themeColor="accent1" w:themeShade="BF"/>
      <w:sz w:val="28"/>
      <w:szCs w:val="28"/>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fbb654631ce4f33" /></Relationships>
</file>